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094" w:rsidRPr="00654094" w:rsidRDefault="00654094" w:rsidP="00654094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/>
        <w:ind w:left="0" w:firstLine="0"/>
        <w:contextualSpacing/>
        <w:jc w:val="center"/>
        <w:rPr>
          <w:rFonts w:eastAsia="Calibri"/>
          <w:sz w:val="28"/>
          <w:szCs w:val="28"/>
          <w:bdr w:val="none" w:sz="0" w:space="0" w:color="auto"/>
          <w:lang w:val="uk-UA" w:eastAsia="ru-RU"/>
        </w:rPr>
      </w:pPr>
      <w:r w:rsidRPr="00654094">
        <w:rPr>
          <w:rFonts w:eastAsia="Times New Roman"/>
          <w:noProof/>
          <w:sz w:val="26"/>
          <w:szCs w:val="26"/>
          <w:bdr w:val="none" w:sz="0" w:space="0" w:color="auto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31D0F25" wp14:editId="6CDADC5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4094">
        <w:rPr>
          <w:rFonts w:eastAsia="Calibri"/>
          <w:sz w:val="28"/>
          <w:szCs w:val="28"/>
          <w:bdr w:val="none" w:sz="0" w:space="0" w:color="auto"/>
          <w:lang w:val="uk-UA" w:eastAsia="ru-RU"/>
        </w:rPr>
        <w:t xml:space="preserve">                                                                                     </w:t>
      </w:r>
      <w:r w:rsidRPr="00654094">
        <w:rPr>
          <w:rFonts w:eastAsia="Calibri"/>
          <w:b/>
          <w:sz w:val="28"/>
          <w:szCs w:val="28"/>
          <w:bdr w:val="none" w:sz="0" w:space="0" w:color="auto"/>
          <w:lang w:val="uk-UA" w:eastAsia="ru-RU"/>
        </w:rPr>
        <w:t xml:space="preserve">            </w:t>
      </w:r>
      <w:r w:rsidRPr="00654094">
        <w:rPr>
          <w:rFonts w:eastAsia="Calibri"/>
          <w:sz w:val="28"/>
          <w:szCs w:val="28"/>
          <w:bdr w:val="none" w:sz="0" w:space="0" w:color="auto"/>
          <w:lang w:val="uk-UA" w:eastAsia="ru-RU"/>
        </w:rPr>
        <w:t xml:space="preserve">                        </w:t>
      </w:r>
    </w:p>
    <w:p w:rsidR="00654094" w:rsidRPr="00654094" w:rsidRDefault="00654094" w:rsidP="006540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Batang"/>
          <w:b/>
          <w:bCs/>
          <w:sz w:val="28"/>
          <w:szCs w:val="28"/>
          <w:bdr w:val="none" w:sz="0" w:space="0" w:color="auto"/>
          <w:lang w:val="uk-UA" w:eastAsia="ru-RU"/>
        </w:rPr>
      </w:pPr>
    </w:p>
    <w:p w:rsidR="00654094" w:rsidRPr="00654094" w:rsidRDefault="00654094" w:rsidP="006540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Batang"/>
          <w:b/>
          <w:bCs/>
          <w:sz w:val="28"/>
          <w:szCs w:val="28"/>
          <w:bdr w:val="none" w:sz="0" w:space="0" w:color="auto"/>
          <w:lang w:val="uk-UA" w:eastAsia="ru-RU"/>
        </w:rPr>
      </w:pPr>
    </w:p>
    <w:p w:rsidR="00654094" w:rsidRPr="00654094" w:rsidRDefault="00654094" w:rsidP="006540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Batang"/>
          <w:b/>
          <w:bCs/>
          <w:sz w:val="28"/>
          <w:szCs w:val="28"/>
          <w:bdr w:val="none" w:sz="0" w:space="0" w:color="auto"/>
          <w:lang w:val="uk-UA" w:eastAsia="ru-RU"/>
        </w:rPr>
      </w:pPr>
      <w:r w:rsidRPr="00654094">
        <w:rPr>
          <w:rFonts w:eastAsia="Batang"/>
          <w:b/>
          <w:bCs/>
          <w:sz w:val="28"/>
          <w:szCs w:val="28"/>
          <w:bdr w:val="none" w:sz="0" w:space="0" w:color="auto"/>
          <w:lang w:val="uk-UA" w:eastAsia="ru-RU"/>
        </w:rPr>
        <w:t>УКРАЇНА</w:t>
      </w:r>
    </w:p>
    <w:p w:rsidR="00654094" w:rsidRPr="00654094" w:rsidRDefault="00654094" w:rsidP="006540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Batang"/>
          <w:b/>
          <w:bCs/>
          <w:sz w:val="28"/>
          <w:szCs w:val="28"/>
          <w:bdr w:val="none" w:sz="0" w:space="0" w:color="auto"/>
          <w:lang w:val="uk-UA" w:eastAsia="ru-RU"/>
        </w:rPr>
      </w:pPr>
      <w:r w:rsidRPr="00654094">
        <w:rPr>
          <w:rFonts w:eastAsia="Batang"/>
          <w:b/>
          <w:bCs/>
          <w:sz w:val="28"/>
          <w:szCs w:val="28"/>
          <w:bdr w:val="none" w:sz="0" w:space="0" w:color="auto"/>
          <w:lang w:val="uk-UA" w:eastAsia="ru-RU"/>
        </w:rPr>
        <w:t>ФОНТАНСЬКА СІЛЬСЬКА РАДА</w:t>
      </w:r>
    </w:p>
    <w:p w:rsidR="00654094" w:rsidRPr="00654094" w:rsidRDefault="00654094" w:rsidP="006540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Batang"/>
          <w:b/>
          <w:bCs/>
          <w:sz w:val="28"/>
          <w:szCs w:val="28"/>
          <w:bdr w:val="none" w:sz="0" w:space="0" w:color="auto"/>
          <w:lang w:val="uk-UA" w:eastAsia="ru-RU"/>
        </w:rPr>
      </w:pPr>
      <w:r w:rsidRPr="00654094">
        <w:rPr>
          <w:rFonts w:eastAsia="Batang"/>
          <w:b/>
          <w:bCs/>
          <w:sz w:val="28"/>
          <w:szCs w:val="28"/>
          <w:bdr w:val="none" w:sz="0" w:space="0" w:color="auto"/>
          <w:lang w:val="uk-UA" w:eastAsia="ru-RU"/>
        </w:rPr>
        <w:t>ОДЕСЬКОГО РАЙОНУ ОДЕСЬКОЇ ОБЛАСТІ</w:t>
      </w:r>
    </w:p>
    <w:p w:rsidR="00654094" w:rsidRPr="00654094" w:rsidRDefault="00654094" w:rsidP="006540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</w:pPr>
      <w:r w:rsidRPr="00654094"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  <w:t>РІШЕННЯ</w:t>
      </w:r>
    </w:p>
    <w:p w:rsidR="00654094" w:rsidRPr="00654094" w:rsidRDefault="00654094" w:rsidP="006540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</w:pPr>
    </w:p>
    <w:p w:rsidR="00654094" w:rsidRPr="00654094" w:rsidRDefault="00654094" w:rsidP="006540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</w:pPr>
      <w:r w:rsidRPr="00654094"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  <w:t xml:space="preserve">Сімдесят четвертої сесії Фонтанської сільської ради </w:t>
      </w:r>
      <w:r w:rsidRPr="00654094">
        <w:rPr>
          <w:rFonts w:eastAsia="Times New Roman"/>
          <w:b/>
          <w:bCs/>
          <w:sz w:val="26"/>
          <w:szCs w:val="28"/>
          <w:bdr w:val="none" w:sz="0" w:space="0" w:color="auto"/>
        </w:rPr>
        <w:t>VIII</w:t>
      </w:r>
      <w:r w:rsidRPr="00654094"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  <w:t xml:space="preserve"> скликання</w:t>
      </w:r>
    </w:p>
    <w:p w:rsidR="00654094" w:rsidRPr="00654094" w:rsidRDefault="00654094" w:rsidP="006540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</w:pPr>
    </w:p>
    <w:p w:rsidR="00654094" w:rsidRPr="00654094" w:rsidRDefault="00654094" w:rsidP="006540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</w:pPr>
      <w:r w:rsidRPr="00654094"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  <w:t>№31</w:t>
      </w:r>
      <w:r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  <w:t>42</w:t>
      </w:r>
      <w:r w:rsidRPr="00654094"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  <w:t xml:space="preserve"> – </w:t>
      </w:r>
      <w:r w:rsidRPr="00654094">
        <w:rPr>
          <w:rFonts w:eastAsia="Times New Roman"/>
          <w:b/>
          <w:bCs/>
          <w:sz w:val="26"/>
          <w:szCs w:val="28"/>
          <w:bdr w:val="none" w:sz="0" w:space="0" w:color="auto"/>
        </w:rPr>
        <w:t>VIII</w:t>
      </w:r>
      <w:r w:rsidRPr="00654094">
        <w:rPr>
          <w:rFonts w:eastAsia="Times New Roman"/>
          <w:b/>
          <w:bCs/>
          <w:sz w:val="26"/>
          <w:szCs w:val="28"/>
          <w:bdr w:val="none" w:sz="0" w:space="0" w:color="auto"/>
          <w:lang w:val="uk-UA"/>
        </w:rPr>
        <w:t xml:space="preserve">                                                                            від 22 травня 2025 року</w:t>
      </w:r>
    </w:p>
    <w:p w:rsidR="00654094" w:rsidRPr="00654094" w:rsidRDefault="00654094" w:rsidP="0065409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/>
          <w:bCs/>
          <w:sz w:val="28"/>
          <w:szCs w:val="28"/>
          <w:bdr w:val="none" w:sz="0" w:space="0" w:color="auto"/>
          <w:shd w:val="clear" w:color="auto" w:fill="FFFFFF"/>
          <w:lang w:val="uk-UA"/>
        </w:rPr>
      </w:pPr>
    </w:p>
    <w:p w:rsidR="003D583C" w:rsidRDefault="003D583C">
      <w:pPr>
        <w:pStyle w:val="a5"/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583C" w:rsidRDefault="00E51ED9">
      <w:pPr>
        <w:pStyle w:val="a5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</w:rPr>
        <w:t>затвердження статуту</w:t>
      </w:r>
    </w:p>
    <w:p w:rsidR="003D583C" w:rsidRDefault="00E51ED9">
      <w:pPr>
        <w:pStyle w:val="a5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Комунального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ідприємства</w:t>
      </w:r>
    </w:p>
    <w:p w:rsidR="003D583C" w:rsidRDefault="00E51ED9">
      <w:pPr>
        <w:pStyle w:val="a5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fr-FR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Муніципальна варта</w:t>
      </w:r>
      <w:r>
        <w:rPr>
          <w:rFonts w:ascii="Times New Roman" w:hAnsi="Times New Roman"/>
          <w:b/>
          <w:bCs/>
          <w:sz w:val="28"/>
          <w:szCs w:val="28"/>
          <w:lang w:val="it-IT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Фонтанської сільської ради </w:t>
      </w:r>
    </w:p>
    <w:p w:rsidR="003D583C" w:rsidRDefault="00E51ED9">
      <w:pPr>
        <w:pStyle w:val="a5"/>
        <w:shd w:val="clear" w:color="auto" w:fill="FFFFFF"/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</w:rPr>
        <w:t xml:space="preserve">» у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нов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ій редакції </w:t>
      </w:r>
    </w:p>
    <w:p w:rsidR="003D583C" w:rsidRDefault="00E51ED9">
      <w:pPr>
        <w:pStyle w:val="a5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3D583C" w:rsidRDefault="00E51ED9">
      <w:pPr>
        <w:pStyle w:val="a5"/>
        <w:shd w:val="clear" w:color="auto" w:fill="FFFFFF"/>
        <w:spacing w:before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</w:t>
      </w:r>
      <w:proofErr w:type="gramEnd"/>
      <w:r>
        <w:rPr>
          <w:rFonts w:ascii="Times New Roman" w:hAnsi="Times New Roman"/>
          <w:sz w:val="28"/>
          <w:szCs w:val="28"/>
        </w:rPr>
        <w:t xml:space="preserve"> метою впорядкування діяльності комунальних підприємств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 оптимізації управління та забезпечення </w:t>
      </w:r>
      <w:r>
        <w:rPr>
          <w:rFonts w:ascii="Times New Roman" w:hAnsi="Times New Roman"/>
          <w:sz w:val="28"/>
          <w:szCs w:val="28"/>
        </w:rPr>
        <w:t>належного контролю за суб’єктами господарювання комунальної форми власності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 керуючись статтею </w:t>
      </w:r>
      <w:r>
        <w:rPr>
          <w:rFonts w:ascii="Times New Roman" w:hAnsi="Times New Roman"/>
          <w:sz w:val="28"/>
          <w:szCs w:val="28"/>
        </w:rPr>
        <w:t xml:space="preserve">26 </w:t>
      </w:r>
      <w:r>
        <w:rPr>
          <w:rFonts w:ascii="Times New Roman" w:hAnsi="Times New Roman"/>
          <w:sz w:val="28"/>
          <w:szCs w:val="28"/>
        </w:rPr>
        <w:t xml:space="preserve">Закону України «Про </w:t>
      </w:r>
      <w:proofErr w:type="gramStart"/>
      <w:r>
        <w:rPr>
          <w:rFonts w:ascii="Times New Roman" w:hAnsi="Times New Roman"/>
          <w:sz w:val="28"/>
          <w:szCs w:val="28"/>
        </w:rPr>
        <w:t>м</w:t>
      </w:r>
      <w:proofErr w:type="gramEnd"/>
      <w:r>
        <w:rPr>
          <w:rFonts w:ascii="Times New Roman" w:hAnsi="Times New Roman"/>
          <w:sz w:val="28"/>
          <w:szCs w:val="28"/>
        </w:rPr>
        <w:t>ісцеве самоврядування в Україні»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статтею </w:t>
      </w:r>
      <w:r>
        <w:rPr>
          <w:rFonts w:ascii="Times New Roman" w:hAnsi="Times New Roman"/>
          <w:sz w:val="28"/>
          <w:szCs w:val="28"/>
        </w:rPr>
        <w:t xml:space="preserve">78 </w:t>
      </w:r>
      <w:r>
        <w:rPr>
          <w:rFonts w:ascii="Times New Roman" w:hAnsi="Times New Roman"/>
          <w:sz w:val="28"/>
          <w:szCs w:val="28"/>
        </w:rPr>
        <w:t>Господарського кодексу України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Фонтанська сільська рада Одеського району Одеської області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-</w:t>
      </w:r>
    </w:p>
    <w:p w:rsidR="003D583C" w:rsidRDefault="003D583C">
      <w:pPr>
        <w:pStyle w:val="a5"/>
        <w:spacing w:before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583C" w:rsidRDefault="00E51ED9">
      <w:pPr>
        <w:pStyle w:val="a5"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ВИРІШИЛА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3D583C" w:rsidRDefault="003D583C">
      <w:pPr>
        <w:pStyle w:val="a5"/>
        <w:spacing w:before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583C" w:rsidRDefault="00E51ED9">
      <w:pPr>
        <w:pStyle w:val="a6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Внести зміни до статуту Комунального </w:t>
      </w:r>
      <w:proofErr w:type="gramStart"/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п</w:t>
      </w:r>
      <w:proofErr w:type="gramEnd"/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ідприємства </w:t>
      </w:r>
      <w:bookmarkStart w:id="0" w:name="МуніципальнаВарта"/>
      <w:r>
        <w:rPr>
          <w:sz w:val="28"/>
          <w:szCs w:val="28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«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Муніципальна варта</w:t>
      </w:r>
      <w:r>
        <w:rPr>
          <w:sz w:val="28"/>
          <w:szCs w:val="28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»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bookmarkEnd w:id="0"/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Фонтанської сільської ради Одесского району Одеської області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код ЄДРПОУ 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44761112)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та затвердити його в новій редакції 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(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додається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).</w:t>
      </w:r>
    </w:p>
    <w:p w:rsidR="003D583C" w:rsidRDefault="00E51ED9">
      <w:pPr>
        <w:pStyle w:val="a6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Д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иректор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у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КП «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Муніципальна варта</w:t>
      </w:r>
      <w:r>
        <w:rPr>
          <w:sz w:val="28"/>
          <w:szCs w:val="28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»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Фонтанської сільської ради Одеського району Одеської області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зв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ернутись у встановленому законодавством порядку для державної реєстрації 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змін до установчих документів юридичної особи протягом одного мі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сяця з дня прийняття цього </w:t>
      </w:r>
      <w:proofErr w:type="gramStart"/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р</w:t>
      </w:r>
      <w:proofErr w:type="gramEnd"/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ішення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</w:p>
    <w:p w:rsidR="003D583C" w:rsidRPr="00654094" w:rsidRDefault="00E51ED9">
      <w:pPr>
        <w:pStyle w:val="a6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Контроль</w:t>
      </w:r>
      <w:r>
        <w:rPr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 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за</w:t>
      </w:r>
      <w:r>
        <w:rPr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 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виконанням</w:t>
      </w:r>
      <w:r>
        <w:rPr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 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цього </w:t>
      </w:r>
      <w:proofErr w:type="gramStart"/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р</w:t>
      </w:r>
      <w:proofErr w:type="gramEnd"/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ішення</w:t>
      </w:r>
      <w:r>
        <w:rPr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 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покласти на постійну комісію Фонтанської</w:t>
      </w:r>
      <w:r>
        <w:rPr>
          <w:sz w:val="28"/>
          <w:szCs w:val="2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 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сільської ради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з питань прав люд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ини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законності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де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путатської діяльності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етики та регламенту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Pr="00654094" w:rsidRDefault="00654094" w:rsidP="00654094">
      <w:pPr>
        <w:pStyle w:val="a6"/>
        <w:shd w:val="clear" w:color="auto" w:fill="FFFFFF"/>
        <w:tabs>
          <w:tab w:val="left" w:pos="6405"/>
        </w:tabs>
        <w:ind w:firstLine="851"/>
        <w:jc w:val="both"/>
        <w:rPr>
          <w:b/>
          <w:sz w:val="28"/>
          <w:szCs w:val="28"/>
          <w:shd w:val="clear" w:color="auto" w:fill="FFFFFF"/>
          <w:lang w:val="uk-UA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54094">
        <w:rPr>
          <w:b/>
          <w:sz w:val="28"/>
          <w:szCs w:val="28"/>
          <w:shd w:val="clear" w:color="auto" w:fill="FFFFFF"/>
          <w:lang w:val="uk-UA"/>
          <w14:textOutline w14:w="12700" w14:cap="flat" w14:cmpd="sng" w14:algn="ctr">
            <w14:noFill/>
            <w14:prstDash w14:val="solid"/>
            <w14:miter w14:lim="400000"/>
          </w14:textOutline>
        </w:rPr>
        <w:t>В.о.сільського голови</w:t>
      </w:r>
      <w:r w:rsidRPr="00654094">
        <w:rPr>
          <w:b/>
          <w:sz w:val="28"/>
          <w:szCs w:val="28"/>
          <w:shd w:val="clear" w:color="auto" w:fill="FFFFFF"/>
          <w:lang w:val="uk-UA"/>
          <w14:textOutline w14:w="12700" w14:cap="flat" w14:cmpd="sng" w14:algn="ctr">
            <w14:noFill/>
            <w14:prstDash w14:val="solid"/>
            <w14:miter w14:lim="400000"/>
          </w14:textOutline>
        </w:rPr>
        <w:tab/>
        <w:t>Андрій СЕРЕБРІЙ</w:t>
      </w: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E51ED9">
      <w:pPr>
        <w:pStyle w:val="a6"/>
        <w:shd w:val="clear" w:color="auto" w:fill="FFFFFF"/>
        <w:ind w:firstLine="851"/>
        <w:jc w:val="center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ПОЯСНЮВАЛЬНА ЗАПИСКА</w:t>
      </w:r>
    </w:p>
    <w:p w:rsidR="003D583C" w:rsidRDefault="003D583C">
      <w:pPr>
        <w:pStyle w:val="a6"/>
        <w:shd w:val="clear" w:color="auto" w:fill="FFFFFF"/>
        <w:ind w:firstLine="851"/>
        <w:jc w:val="center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E51ED9">
      <w:pPr>
        <w:pStyle w:val="a6"/>
        <w:shd w:val="clear" w:color="auto" w:fill="FFFFFF"/>
        <w:ind w:firstLine="851"/>
        <w:jc w:val="center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до проекту </w:t>
      </w:r>
      <w:proofErr w:type="gramStart"/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р</w:t>
      </w:r>
      <w:proofErr w:type="gramEnd"/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ішення сесії Фонтанської сільської ради</w:t>
      </w:r>
    </w:p>
    <w:p w:rsidR="003D583C" w:rsidRDefault="00E51ED9">
      <w:pPr>
        <w:pStyle w:val="a6"/>
        <w:shd w:val="clear" w:color="auto" w:fill="FFFFFF"/>
        <w:ind w:firstLine="851"/>
        <w:jc w:val="center"/>
        <w:rPr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sz w:val="28"/>
          <w:szCs w:val="28"/>
          <w:shd w:val="clear" w:color="auto" w:fill="FFFFFF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«</w:t>
      </w:r>
      <w:r w:rsidRPr="00654094">
        <w:rPr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Про затвердження статуту</w:t>
      </w:r>
      <w:r>
        <w:rPr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54094">
        <w:rPr>
          <w:b/>
          <w:bCs/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Комунального підприємства</w:t>
      </w:r>
    </w:p>
    <w:p w:rsidR="003D583C" w:rsidRDefault="00E51ED9">
      <w:pPr>
        <w:pStyle w:val="a5"/>
        <w:shd w:val="clear" w:color="auto" w:fill="FFFFFF"/>
        <w:spacing w:before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lang w:val="fr-FR"/>
        </w:rPr>
        <w:t>«</w:t>
      </w:r>
      <w:r>
        <w:rPr>
          <w:rFonts w:ascii="Times New Roman" w:hAnsi="Times New Roman"/>
          <w:b/>
          <w:bCs/>
        </w:rPr>
        <w:t>Муніципальна варта</w:t>
      </w:r>
      <w:r>
        <w:rPr>
          <w:rFonts w:ascii="Times New Roman" w:hAnsi="Times New Roman"/>
          <w:b/>
          <w:bCs/>
          <w:sz w:val="28"/>
          <w:szCs w:val="28"/>
          <w:lang w:val="it-IT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Фо</w:t>
      </w:r>
      <w:r>
        <w:rPr>
          <w:rFonts w:ascii="Times New Roman" w:hAnsi="Times New Roman"/>
          <w:b/>
          <w:bCs/>
          <w:sz w:val="28"/>
          <w:szCs w:val="28"/>
        </w:rPr>
        <w:t>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  <w:lang w:val="it-IT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 xml:space="preserve"> у новій редакції »</w:t>
      </w: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E51ED9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Проект </w:t>
      </w:r>
      <w:proofErr w:type="gramStart"/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р</w:t>
      </w:r>
      <w:proofErr w:type="gramEnd"/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ішення пропонується до розгляду з метою приведення статуту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Комунального підприємства </w:t>
      </w:r>
      <w:r>
        <w:rPr>
          <w:sz w:val="28"/>
          <w:szCs w:val="28"/>
          <w:shd w:val="clear" w:color="auto" w:fill="FFFFFF"/>
          <w:lang w:val="fr-FR"/>
          <w14:textOutline w14:w="12700" w14:cap="flat" w14:cmpd="sng" w14:algn="ctr">
            <w14:noFill/>
            <w14:prstDash w14:val="solid"/>
            <w14:miter w14:lim="400000"/>
          </w14:textOutline>
        </w:rPr>
        <w:t>«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Муніципальна варта</w:t>
      </w:r>
      <w:r>
        <w:rPr>
          <w:sz w:val="28"/>
          <w:szCs w:val="28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»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Фонтанської сільської ради Одеського району Одеської області»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у відповідність до вимог рішення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Фонтанської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сільської ради 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N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º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2851 - VIII 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від 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01.04.2025 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року «Про затвердження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Положення про порядок призначення та звільнення керівників комунальних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підприємств Фонтанської сільської ради Одеського району Одеської області»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3D583C" w:rsidRDefault="00E51ED9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Зазначеним проектом передбачено внесення змін до статуту Комунального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proofErr w:type="gramStart"/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п</w:t>
      </w:r>
      <w:proofErr w:type="gramEnd"/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ід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приємства «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Муніципальна варта</w:t>
      </w:r>
      <w:r>
        <w:rPr>
          <w:sz w:val="28"/>
          <w:szCs w:val="28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»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Фонтанської сільської ради</w:t>
      </w:r>
      <w:r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654094">
        <w:rPr>
          <w:sz w:val="28"/>
          <w:szCs w:val="28"/>
          <w14:textOutline w14:w="12700" w14:cap="flat" w14:cmpd="sng" w14:algn="ctr">
            <w14:noFill/>
            <w14:prstDash w14:val="solid"/>
            <w14:miter w14:lim="400000"/>
          </w14:textOutline>
        </w:rPr>
        <w:t>Одеського району Одеської області</w:t>
      </w:r>
      <w:r>
        <w:rPr>
          <w:sz w:val="28"/>
          <w:szCs w:val="28"/>
          <w:shd w:val="clear" w:color="auto" w:fill="FFFFFF"/>
          <w:lang w:val="it-IT"/>
          <w14:textOutline w14:w="12700" w14:cap="flat" w14:cmpd="sng" w14:algn="ctr">
            <w14:noFill/>
            <w14:prstDash w14:val="solid"/>
            <w14:miter w14:lim="400000"/>
          </w14:textOutline>
        </w:rPr>
        <w:t>»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(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код ЄДРПОУ 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44761112), </w:t>
      </w:r>
      <w:r w:rsidRPr="00654094"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виклавши його в новій редакції</w:t>
      </w:r>
      <w:r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654094" w:rsidRDefault="00654094">
      <w:pPr>
        <w:pStyle w:val="a5"/>
        <w:suppressAutoHyphens/>
        <w:spacing w:before="0" w:line="240" w:lineRule="auto"/>
        <w:ind w:firstLine="4660"/>
        <w:rPr>
          <w:rFonts w:ascii="Times New Roman" w:hAnsi="Times New Roman"/>
          <w:shd w:val="clear" w:color="auto" w:fill="FFFFFF"/>
          <w:lang w:val="uk-UA"/>
        </w:rPr>
      </w:pPr>
    </w:p>
    <w:p w:rsidR="003D583C" w:rsidRDefault="00E51ED9">
      <w:pPr>
        <w:pStyle w:val="a5"/>
        <w:suppressAutoHyphens/>
        <w:spacing w:before="0" w:line="240" w:lineRule="auto"/>
        <w:ind w:firstLine="4660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lastRenderedPageBreak/>
        <w:t>ЗАТВЕРДЖЕНО</w:t>
      </w:r>
    </w:p>
    <w:p w:rsidR="003D583C" w:rsidRDefault="00E51ED9">
      <w:pPr>
        <w:pStyle w:val="a5"/>
        <w:suppressAutoHyphens/>
        <w:spacing w:before="0" w:line="240" w:lineRule="auto"/>
        <w:ind w:firstLine="4660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>
        <w:rPr>
          <w:rFonts w:ascii="Times New Roman" w:hAnsi="Times New Roman"/>
          <w:shd w:val="clear" w:color="auto" w:fill="FFFFFF"/>
        </w:rPr>
        <w:t>р</w:t>
      </w:r>
      <w:proofErr w:type="gramEnd"/>
      <w:r>
        <w:rPr>
          <w:rFonts w:ascii="Times New Roman" w:hAnsi="Times New Roman"/>
          <w:shd w:val="clear" w:color="auto" w:fill="FFFFFF"/>
        </w:rPr>
        <w:t>ішенням сесії Фонтанської сільської ради</w:t>
      </w:r>
    </w:p>
    <w:p w:rsidR="003D583C" w:rsidRDefault="00E51ED9">
      <w:pPr>
        <w:pStyle w:val="a5"/>
        <w:suppressAutoHyphens/>
        <w:spacing w:before="0" w:line="240" w:lineRule="auto"/>
        <w:ind w:firstLine="4660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>Одеського району Одеської області</w:t>
      </w:r>
    </w:p>
    <w:p w:rsidR="003D583C" w:rsidRDefault="00E51ED9">
      <w:pPr>
        <w:pStyle w:val="a5"/>
        <w:suppressAutoHyphens/>
        <w:spacing w:before="0" w:line="240" w:lineRule="auto"/>
        <w:ind w:firstLine="4660"/>
        <w:rPr>
          <w:rFonts w:ascii="Times New Roman" w:eastAsia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/>
          <w:b/>
          <w:bCs/>
          <w:shd w:val="clear" w:color="auto" w:fill="FFFFFF"/>
        </w:rPr>
        <w:t xml:space="preserve">від </w:t>
      </w:r>
      <w:r w:rsidR="00654094">
        <w:rPr>
          <w:rFonts w:ascii="Times New Roman" w:hAnsi="Times New Roman"/>
          <w:b/>
          <w:bCs/>
          <w:shd w:val="clear" w:color="auto" w:fill="FFFFFF"/>
          <w:lang w:val="uk-UA"/>
        </w:rPr>
        <w:t xml:space="preserve">22 травня </w:t>
      </w:r>
      <w:r w:rsidRPr="00654094">
        <w:rPr>
          <w:rFonts w:ascii="Times New Roman" w:hAnsi="Times New Roman"/>
          <w:b/>
          <w:bCs/>
          <w:shd w:val="clear" w:color="auto" w:fill="FFFFFF"/>
        </w:rPr>
        <w:t xml:space="preserve">2025 </w:t>
      </w:r>
      <w:r>
        <w:rPr>
          <w:rFonts w:ascii="Times New Roman" w:hAnsi="Times New Roman"/>
          <w:b/>
          <w:bCs/>
          <w:shd w:val="clear" w:color="auto" w:fill="FFFFFF"/>
        </w:rPr>
        <w:t xml:space="preserve">року № </w:t>
      </w:r>
      <w:r w:rsidR="00654094">
        <w:rPr>
          <w:rFonts w:ascii="Times New Roman" w:hAnsi="Times New Roman"/>
          <w:b/>
          <w:bCs/>
          <w:shd w:val="clear" w:color="auto" w:fill="FFFFFF"/>
          <w:lang w:val="uk-UA"/>
        </w:rPr>
        <w:t>3142</w:t>
      </w:r>
      <w:r w:rsidRPr="00654094">
        <w:rPr>
          <w:rFonts w:ascii="Times New Roman" w:hAnsi="Times New Roman"/>
          <w:b/>
          <w:bCs/>
          <w:shd w:val="clear" w:color="auto" w:fill="FFFFFF"/>
        </w:rPr>
        <w:t xml:space="preserve"> - </w:t>
      </w:r>
      <w:r>
        <w:rPr>
          <w:rFonts w:ascii="Times New Roman" w:hAnsi="Times New Roman"/>
          <w:b/>
          <w:bCs/>
          <w:shd w:val="clear" w:color="auto" w:fill="FFFFFF"/>
          <w:lang w:val="en-US"/>
        </w:rPr>
        <w:t>VIII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FFFFFF"/>
        </w:rPr>
      </w:pPr>
      <w:r>
        <w:rPr>
          <w:rFonts w:ascii="Times New Roman" w:hAnsi="Times New Roman"/>
          <w:b/>
          <w:bCs/>
          <w:sz w:val="40"/>
          <w:szCs w:val="40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FFFFFF"/>
        </w:rPr>
      </w:pPr>
      <w:r>
        <w:rPr>
          <w:rFonts w:ascii="Times New Roman" w:hAnsi="Times New Roman"/>
          <w:b/>
          <w:bCs/>
          <w:sz w:val="40"/>
          <w:szCs w:val="40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FFFFFF"/>
        </w:rPr>
      </w:pPr>
      <w:r>
        <w:rPr>
          <w:rFonts w:ascii="Times New Roman" w:hAnsi="Times New Roman"/>
          <w:b/>
          <w:bCs/>
          <w:sz w:val="40"/>
          <w:szCs w:val="40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FFFFFF"/>
        </w:rPr>
      </w:pPr>
      <w:r>
        <w:rPr>
          <w:rFonts w:ascii="Times New Roman" w:hAnsi="Times New Roman"/>
          <w:b/>
          <w:bCs/>
          <w:sz w:val="40"/>
          <w:szCs w:val="40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FFFFFF"/>
        </w:rPr>
      </w:pPr>
      <w:r>
        <w:rPr>
          <w:rFonts w:ascii="Times New Roman" w:hAnsi="Times New Roman"/>
          <w:b/>
          <w:bCs/>
          <w:sz w:val="40"/>
          <w:szCs w:val="40"/>
          <w:shd w:val="clear" w:color="auto" w:fill="FFFFFF"/>
        </w:rPr>
        <w:t> </w:t>
      </w:r>
    </w:p>
    <w:p w:rsidR="003D583C" w:rsidRDefault="00E51ED9" w:rsidP="00654094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FFFFFF"/>
        </w:rPr>
      </w:pPr>
      <w:bookmarkStart w:id="1" w:name="_GoBack"/>
      <w:bookmarkEnd w:id="1"/>
      <w:r>
        <w:rPr>
          <w:rFonts w:ascii="Times New Roman" w:hAnsi="Times New Roman"/>
          <w:b/>
          <w:bCs/>
          <w:sz w:val="40"/>
          <w:szCs w:val="40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shd w:val="clear" w:color="auto" w:fill="FFFFFF"/>
        </w:rPr>
      </w:pPr>
      <w:r>
        <w:rPr>
          <w:rFonts w:ascii="Times New Roman" w:hAnsi="Times New Roman"/>
          <w:b/>
          <w:bCs/>
          <w:sz w:val="40"/>
          <w:szCs w:val="40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СТАТУТ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комунального </w:t>
      </w:r>
      <w:proofErr w:type="gramStart"/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п</w:t>
      </w:r>
      <w:proofErr w:type="gramEnd"/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 xml:space="preserve">ідприємства «Муніципальна варта»Фонтанської </w:t>
      </w: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сільської ради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Фонтанка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2025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ік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 xml:space="preserve">1.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ЗАГАЛЬНІ ПОЛОЖЕННЯ</w:t>
      </w:r>
    </w:p>
    <w:p w:rsidR="003D583C" w:rsidRDefault="00E51ED9">
      <w:pPr>
        <w:pStyle w:val="a5"/>
        <w:suppressAutoHyphens/>
        <w:spacing w:before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Комунальне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«Муніципальна варта» 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, (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 подальшому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створене Фонтанською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сільською радою згідно з рішенням Фонтанської сільської ради та діє на підставі цього Статуту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Цивільного та Господарського кодексів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Законів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«Про охоронну діяльність» «Про благоустрій населених пункт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ів» та іншого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чинного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законодавства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 заснована на комунальній власності територіальної громадиФонтанської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left="1080" w:hanging="108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left="1080" w:hanging="108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НАЙМЕНУВАННЯ ТА МІСЦЕЗНАХОДЖЕННЯ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Повне найменування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Комунальне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ідприємство«МУНІЦИ</w:t>
      </w:r>
      <w:r>
        <w:rPr>
          <w:rFonts w:ascii="Times New Roman" w:hAnsi="Times New Roman"/>
          <w:sz w:val="28"/>
          <w:szCs w:val="28"/>
          <w:shd w:val="clear" w:color="auto" w:fill="FFFFFF"/>
        </w:rPr>
        <w:t>ПАЛЬНА ВАРТА» Фонтанськоїсільської ради Одеського району Олеської області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Скорочене найменування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Місцезнаходження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вул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Степна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4,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Фонтанка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Одеський район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деська область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Україна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67571.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3.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ПРАВОВИЙ СТАТУС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своїй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діяльності КП «Муніципальна варта» керується Конституцією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ЗаконамиУкраїни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«Про охоронну діяльність»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«Про благоустрій населених пунктів»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«Про відходи»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«Про захист прав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споживачів»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Кодексом України про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іністративніправопорушення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Цивільним та Господарським кодексами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нормативно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правовими актами Президента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Кабінету Міністрів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Верховної Ради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Правилами благоустрою території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рішеннями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Фонтанської сільської ради і її виконавчого комітету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розпорядженнями сільського голови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даним Статутом та іншими нормативно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правовими актами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та діє 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ідставі ліцензії або інших дозвільних документів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передбачених чинним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</w:t>
      </w:r>
      <w:r>
        <w:rPr>
          <w:rFonts w:ascii="Times New Roman" w:hAnsi="Times New Roman"/>
          <w:sz w:val="28"/>
          <w:szCs w:val="28"/>
          <w:shd w:val="clear" w:color="auto" w:fill="FFFFFF"/>
        </w:rPr>
        <w:t>альна варта» є уповноваженим представником Власника в сфері дотримання та виконання вимог законодавства про благоустрій населених пункті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 відходи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захисту прав споживачів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громадського порядку та охоронної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Права і обов’язки КП «Муніци</w:t>
      </w:r>
      <w:r>
        <w:rPr>
          <w:rFonts w:ascii="Times New Roman" w:hAnsi="Times New Roman"/>
          <w:sz w:val="28"/>
          <w:szCs w:val="28"/>
          <w:shd w:val="clear" w:color="auto" w:fill="FFFFFF"/>
        </w:rPr>
        <w:t>пальна варта» набуває з дня державної реєстрації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 в межах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встановлених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самостійно несе відповідальність за своїми зобов’язаннями в межах належного їй майна та грошових коштів згідно з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пальна варта» не несе відповідальності за зобов’язаннями Власника та Органу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управління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 Власник та Орган управління не несуть відповідальності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за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зобов’язаннями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3.5.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КП «Муніципальна варта» є юридичною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особою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має самостійний бал</w:t>
      </w:r>
      <w:r>
        <w:rPr>
          <w:rFonts w:ascii="Times New Roman" w:hAnsi="Times New Roman"/>
          <w:sz w:val="28"/>
          <w:szCs w:val="28"/>
          <w:shd w:val="clear" w:color="auto" w:fill="FFFFFF"/>
        </w:rPr>
        <w:t>анс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розрахунковий та інші рахунки в установах банків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круглу печатку з власним найменуванням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штампи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бланки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власну емблему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іншу атрибутику юридичної особи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3.6.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 від свого імені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виступає у господарських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цивільних та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іністрат</w:t>
      </w:r>
      <w:r>
        <w:rPr>
          <w:rFonts w:ascii="Times New Roman" w:hAnsi="Times New Roman"/>
          <w:sz w:val="28"/>
          <w:szCs w:val="28"/>
          <w:shd w:val="clear" w:color="auto" w:fill="FFFFFF"/>
        </w:rPr>
        <w:t>ивних правовідносинах з юридичними та фізичними особами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набуває майнових прав та несе 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виступає позивачем та відповідачем у судах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несе відповідальність за результатами своєї господарської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3.7.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КП «Муніципальна варта» має право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вступати до асоціацій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консорціумів та інших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єднань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 лише за погодженням з Власником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3.8.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Зразок форменого одягу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знаків розрізнення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емблеми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особового посвідчення працівника КП «Муніципальна варта» затверджується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ішенням виконавчого коміт</w:t>
      </w:r>
      <w:r>
        <w:rPr>
          <w:rFonts w:ascii="Times New Roman" w:hAnsi="Times New Roman"/>
          <w:sz w:val="28"/>
          <w:szCs w:val="28"/>
          <w:shd w:val="clear" w:color="auto" w:fill="FFFFFF"/>
        </w:rPr>
        <w:t>ету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4.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МЕТА ТА ВИДИ ДІЯЛЬНОСТІ</w:t>
      </w:r>
    </w:p>
    <w:p w:rsidR="003D583C" w:rsidRDefault="00E51ED9">
      <w:pPr>
        <w:pStyle w:val="a5"/>
        <w:suppressAutoHyphens/>
        <w:spacing w:before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Метою діяльності КП «Муніципальна варта»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є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  <w:proofErr w:type="gramEnd"/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виконання заходів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сфері забезпечення дієвого контролю за благоустроєм території громади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забезпечення в межах визначених законодавством прав членів те</w:t>
      </w:r>
      <w:r>
        <w:rPr>
          <w:rFonts w:ascii="Times New Roman" w:hAnsi="Times New Roman"/>
          <w:sz w:val="28"/>
          <w:szCs w:val="28"/>
          <w:shd w:val="clear" w:color="auto" w:fill="FFFFFF"/>
        </w:rPr>
        <w:t>риторіальної громади в сфері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формування у мешканців громади активної громадської позиції щодо збереження довкілля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єктів та елементів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забезпечення чіткого виконання суб’єктами господарювання та громадянами обов’язків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сфері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захист майна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забезпечення прав і законних інтересів суб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єктів господарювання та фізичних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осіб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забезпечення в межах визначених законодавством прав членів територіальної громади попередження та запобігання правопорушенням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посягають 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громадський порядок і громадську безпеку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надання охоронних послуг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здійснення іншої господарської діяльності не забороненої законом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Для досягнення мети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своєї д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іяльності у сфері охоронної діяльності КП «Муніципальна варта» реалізує наступні завда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4.2.1.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використовує пункти централізованого спостереження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техн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ічні засоби охорони та пожежогасіння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транспорт реагування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службові собаки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4.2.2.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здійснює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станом майнової безпеки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єкта охорони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4.2.3.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запобігає загрозам особистої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безпеки фізичної особи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яка охороняється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4.2.4.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проводить у встановленому законодавством порядку службові розслідування по питанням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пов’язаним зі здійсненням охоронної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та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забезпечує захист майна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прав і законних інтересів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організацій незалежно від форм власності та фізичних осіб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4.2.5.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є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у порядку встановленому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охорону громадського порядку в місцях розміщення об’єктів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підлягають охороні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4.3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Д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ля досягнення мети своєї діяльності у сфері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захисту прав споживачів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попередження правопорушень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посягають на громадський порядок і громадську безпеку КП «Муніципальна варта» реалізує наступні завдання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4.3.1.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здійснює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станом благоустрою територіальної громади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дотримання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м чистоти та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забезпечує попередження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запобігання та припинення правопорушень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посягають на громадський порядок і громадську безпеку у встановленому законодавством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4.3.2.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здійснює контроль за дотриманням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</w:t>
      </w:r>
      <w:r>
        <w:rPr>
          <w:rFonts w:ascii="Times New Roman" w:hAnsi="Times New Roman"/>
          <w:sz w:val="28"/>
          <w:szCs w:val="28"/>
          <w:shd w:val="clear" w:color="auto" w:fill="FFFFFF"/>
        </w:rPr>
        <w:t>анізаціями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громадянами вимог Законів України «Про благоустрій населених пунктів»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«Про відходи»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«Про захист прав споживачів»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інших нормативно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правових актів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регулюють відносини в цій сфері у порядку встановленому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4.3.3.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нює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станом благоустрою території Фонтанської територіальної громади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втому числі озелененням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охороною зелених насаджень і водойм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створенням місць відпочинку громадян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утриманням в належному стані закріплених та прилеглих до належних суб’єктам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господарювання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установам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організаціям будівель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споруд та територій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4.3.4.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здійснює контроль за додержанням суб’єктами господарювання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організаціями незалежно від форм власності та громадянами вимог законодавства у сфері поводження з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побутовими та виробничими відходами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4.3.5.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здійснює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проф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ілактичні заходи з метою запобігання правопорушенням в сфері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4.3.6.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сприяє розвитку та поліпшенню стану благоустрою громади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4.3.7.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вживає заходів щодо зупинення робіт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які проводяться с</w:t>
      </w:r>
      <w:r>
        <w:rPr>
          <w:rFonts w:ascii="Times New Roman" w:hAnsi="Times New Roman"/>
          <w:sz w:val="28"/>
          <w:szCs w:val="28"/>
          <w:shd w:val="clear" w:color="auto" w:fill="FFFFFF"/>
        </w:rPr>
        <w:t>амовільно і порушують стан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забезпечує відшкодування завданих збиткі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приведення об’єктів благоустрою до належного стану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4.3.8.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здійснює контроль за відновленням цілісності зруйнованих елементів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внаслідок проведення земляних ро</w:t>
      </w:r>
      <w:r>
        <w:rPr>
          <w:rFonts w:ascii="Times New Roman" w:hAnsi="Times New Roman"/>
          <w:sz w:val="28"/>
          <w:szCs w:val="28"/>
          <w:shd w:val="clear" w:color="auto" w:fill="FFFFFF"/>
        </w:rPr>
        <w:t>біт та вжиття заході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до виконавців земляних робіт щодо їх відновлення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4.3.9.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надає методичну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консультативну та іншу допомогу суб’єктам господарювання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установам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організаціям з питань утримання територій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будівель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споруд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забезпечення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10.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надає безоплатні правові консультації та допомогу мешканцям громади в межах своєї компетенції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4.3.11.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виявляє порушення законодавства і складає протоколи про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іністративні правопорушення у відповідності до ст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.255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Кодексу України про адміністративні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правопорушення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4.3.12.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вживає самостійно або спільно з працівниками поліції заходів до припинення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іністративних правопорушень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4.3.13.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виконує інші завдання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не суперечать вимогам чинного законодавства України і віднесені до його компетенції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сфері інших видів господарської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4.4.1.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 може здійснювати інші види діяльності згідно з діючим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У випадку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якщо якась діяльність вимагає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спец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іального дозволу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ліцензії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 повинна одерж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ати його у встановленому порядку та додержуватись визначених умов та правил здійснення даного виду діяльності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ліцензійних умов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5.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ПРАВА ТА ОБОВ’ЯЗКИ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5.1.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сфері здійснення охоронної діяльності КП «Муніципальна варта» має наступні повноваження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набувати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зберігати та використовувати в установленому законодавством порядку спеціальні засоби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перелік яких визначається Кабінетом Міні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стр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ів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використовувати радіозв’язок за наявності дозволу на його використання на наданих радіочас</w:t>
      </w:r>
      <w:r>
        <w:rPr>
          <w:rFonts w:ascii="Times New Roman" w:hAnsi="Times New Roman"/>
          <w:sz w:val="28"/>
          <w:szCs w:val="28"/>
          <w:shd w:val="clear" w:color="auto" w:fill="FFFFFF"/>
        </w:rPr>
        <w:t>тотах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5. 1.3.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використовувати транспорт реагування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5.1.3.1.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транспорт реагування суб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єкта охоронної діяльності є спеціальним транспортом і обладнується засобами радіотехнічного зв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кольорографічними схемами та написами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відповідними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ітловими та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звуковими сигналами 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визначеному Міністерством внутрішніх справ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5.1.4.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вимагати від громадян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службових та посадових осіб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організації незалежно від форм власності припинення протиправних дій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дотримання законності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правопорядку в межах наданих повноважень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5.1.5.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вимагати від службових осіб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єктів охорони та інших осіб дотримання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пропускного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внутрішньо об’єктового режимів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5.1.6.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 допускати проникнення осіб та затримувати тих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які намагаються проникнути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роникли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 об’єкт охорони або залишити його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порушуючи встановлені правила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з обов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язковим негайним повідомленням про це територіальний орган внутрішніх справ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5.1.7.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застосовувати заходи фізичного впливу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спеціальні засоби та використовувати службових со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бак відповідно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до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Закону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5.1.8.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 час здійснення пропускного режиму на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єктах охорони проводити огляд речей фізичних осіб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 їх добровільною згодою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транспортних засобів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вилучення речей і документів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є знаряддями або предметами правопорушення у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передбаченому чинним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перевірку документів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засвідчують особу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дають право на вхід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вихід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осіб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внесення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винесення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ввезення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вивезення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майна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їзд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виїзд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транспортних засобів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зокрема щодо їх відповідності складу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матер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іальних цінностей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переміщуються на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єкти охорони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з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єктів охорони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);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5.1.9.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проводити відкриту відео та фотозйомку подій як допоміжний засіб запобігання протиправним діям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на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охороняється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5.2.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 у сфері благоу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дотримання законодавства про відходи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попередження правопорушень що посягають на громадський порядок і громадську безпеку має наступні повноваження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проводити рейди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та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перевірки території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єктів громади щодо стану їх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додержанн</w:t>
      </w:r>
      <w:r>
        <w:rPr>
          <w:rFonts w:ascii="Times New Roman" w:hAnsi="Times New Roman"/>
          <w:sz w:val="28"/>
          <w:szCs w:val="28"/>
          <w:shd w:val="clear" w:color="auto" w:fill="FFFFFF"/>
        </w:rPr>
        <w:t>я суб’єктами господарської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установами та організаціями незалежно від форм власності та громадянами законодавства у сфері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відвідувати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суб’єктів підприємницької діяльності незалежно від фор</w:t>
      </w:r>
      <w:r>
        <w:rPr>
          <w:rFonts w:ascii="Times New Roman" w:hAnsi="Times New Roman"/>
          <w:sz w:val="28"/>
          <w:szCs w:val="28"/>
          <w:shd w:val="clear" w:color="auto" w:fill="FFFFFF"/>
        </w:rPr>
        <w:t>ми власності з метою контролю за забезпеченням ними дотримання чинного законодавства у сфері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поводження з відходами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вимагати від громадян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посадових та службових осібсуб’єктів господарювання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організацій незалежно від форм вла</w:t>
      </w:r>
      <w:r>
        <w:rPr>
          <w:rFonts w:ascii="Times New Roman" w:hAnsi="Times New Roman"/>
          <w:sz w:val="28"/>
          <w:szCs w:val="28"/>
          <w:shd w:val="clear" w:color="auto" w:fill="FFFFFF"/>
        </w:rPr>
        <w:t>сності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які порушують законодавство у сфері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поводження з відходами припинення правопорушень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надавати приписи громадянам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посадовим та службовим особам суб’єктів господарювання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організацій незалежно від форм власності щодо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усунення виявлених порушень законодавства у сфері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поводження з відходами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5.2.5.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здійснювати контроль за виконанням наданих приписів та запланованих заході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усунення виявлених порушень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5.2.6.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складати акти фіксації виявлених правопорушень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іністративні протоколи про адміністративні правопорушення на громадян та службових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посадових осіб суб’єктів господарювання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організацій незалежно від форм власності в межах компетенції та порядку передбачених чинним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5.2.7.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аправляти протоколи про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іністративне правопорушення на розгляд органам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посадовим особам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уповноваженим розглядати справи про адміністративні правопорушення відповідно до положень Кодексу України про адміністративні правопорушення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5.2.8.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направляти по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відомлення громадянам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посадовим та службовим особам суб’єктів господарювання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організацій незалежно від форм власності для надання усних або письмових пояснень та проводити опитування зазначених осіб у зв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язку з порушенням ними вимог законодавств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у сфері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поводження з відходами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громадського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  <w:proofErr w:type="gramEnd"/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5.2.9.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контролювати та сприяти в забезпеченні чистоти і порядку в громаді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очищенню територій та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єктів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 сміття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будівельних та побутових відходів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снігу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льоду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самовільного розміще</w:t>
      </w:r>
      <w:r>
        <w:rPr>
          <w:rFonts w:ascii="Times New Roman" w:hAnsi="Times New Roman"/>
          <w:sz w:val="28"/>
          <w:szCs w:val="28"/>
          <w:shd w:val="clear" w:color="auto" w:fill="FFFFFF"/>
        </w:rPr>
        <w:t>них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єктів та елементів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5.2.10.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здійснювати відповідно до чинного законодавства фот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відео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зйомки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звукозапис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 допоміжний засіб для запобігання порушень вимог законодавства у сфері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поводження з відходами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захисту прав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споживачів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громадського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5.2.11.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залучати в установленому порядку фахівців інших органів 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установ і організацій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погодженням з їх керівниками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 розгляду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належать до компетенції КП «Муніципал</w:t>
      </w:r>
      <w:r>
        <w:rPr>
          <w:rFonts w:ascii="Times New Roman" w:hAnsi="Times New Roman"/>
          <w:sz w:val="28"/>
          <w:szCs w:val="28"/>
          <w:shd w:val="clear" w:color="auto" w:fill="FFFFFF"/>
        </w:rPr>
        <w:t>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5.2.12.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надавати допомогу суб’єктам господарювання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установам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організаціям та громадянам у поліпшені стану території та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єктівблагоустрою громади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дотримання вимог законодавства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сфері поводження з відходами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охорони громадського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>
        <w:rPr>
          <w:rFonts w:ascii="Times New Roman" w:hAnsi="Times New Roman"/>
          <w:sz w:val="28"/>
          <w:szCs w:val="28"/>
          <w:shd w:val="clear" w:color="auto" w:fill="FFFFFF"/>
        </w:rPr>
        <w:t>ахисту прав споживачів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5.2.13.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подавати у встановленому порядку пропозиції з розвитку та поліпшення стану благоустрою територій та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єктів громади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захисту прав споживачів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поводження з відходами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громадського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удосконалення Правил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.2.14.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брати участь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межах своєї компетенції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 роботі комісій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утворених сільською радою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виконкомом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сільським головою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виконавчими органами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5.2.15.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надавати інформацію органам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державного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контролю відповідно до чинного законодавства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5.2.16.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одержувати у встановленому порядку від посадових осіб виконавчих органів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службових та посадових осіб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організацій незалежно від форм власності документи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довідки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інші матеріали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необхідні для виконання покладен</w:t>
      </w:r>
      <w:r>
        <w:rPr>
          <w:rFonts w:ascii="Times New Roman" w:hAnsi="Times New Roman"/>
          <w:sz w:val="28"/>
          <w:szCs w:val="28"/>
          <w:shd w:val="clear" w:color="auto" w:fill="FFFFFF"/>
        </w:rPr>
        <w:t>их на КП «Муніципальна варта» завдань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5.2.17.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брати участь у пленарних засіданнях сесій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засіданнях постійних комісій сільської ради та виконавчого комітету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нарадах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комісіях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робочих групах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утворених сільським головою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сільською радою та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її виконавчими органами у встановленому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  <w:proofErr w:type="gramEnd"/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5.2.18.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скликати у встановленому порядку наради за своєюкомпетенцією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5.2.19.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передавати до державних контролюючих та правоохоронних органів інформацію та матеріали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ідчать про порушення вимог законода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вства у сфері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поводження з відходами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захисту прав споживачів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громадського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5.2.20.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встановлювати особу порушника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якщо особа не відома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 допомогою органів внутрішніх справ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 інших органів виконавчої влади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5.2.21.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забезпечувати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подання від імені Фонтанської сільської ради позовів до суду про відшкодування шкоди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завданої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єктам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внаслідок порушення законодавства з питань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поводження з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ідходами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захисту прав споживачів та Правил благоустрою території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2.22.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приймати участь та безпосередньо розглядати звернення та скарги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організацій і громадян з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відносяться до компетенції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5.2.23.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одержувати у встановленому законом порядку від органів місцевого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самоврядування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 і установ інформацію необхідну для здійснення своїх функцій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5.2.24.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здійснювати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ідготовку на договірних засадах пакету документів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необхідних для оформлення дозволів на порушення об’єктів благоустрою та їх продовження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т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 виконання будь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яких земляних та монтажних робіт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 розміщення малих архітектурних форм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МАФ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благоустрою територій та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окремих ділянок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прокладання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ремонту інженерних мереж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ремонту будівель і споруд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тимчасове порушення існуючого благоустрою та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його 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ідновлення тощо та контролювати їх виконання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5.2.25.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готувати подання до органу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який видав дозвіл на провадження відповідного виду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 вирішення питання про тимчасове зупинення його дії чи про дострокове анулювання у разі систематичного поруш</w:t>
      </w:r>
      <w:r>
        <w:rPr>
          <w:rFonts w:ascii="Times New Roman" w:hAnsi="Times New Roman"/>
          <w:sz w:val="28"/>
          <w:szCs w:val="28"/>
          <w:shd w:val="clear" w:color="auto" w:fill="FFFFFF"/>
        </w:rPr>
        <w:t>ення прав споживачі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Інші повноваження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5.3.1.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забезпечувати цільове використання закріпленого за ним майна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виділених з бюджетів та власних кошті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5.3.2.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здійснювати належне утримання основних фонді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 також забезпечувати своєчасне освоєння нових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виробничих потужностей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5.3.3.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створювати належні умови для високопродуктивної праці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забезпечувати додержання законодавства про працю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соц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іальне страхування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правил та норм охорони праці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техніки безпеки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5.3.4.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здійснювати заходи з удосконалення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організації своєї роботи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5.3.5.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здійснювати заходи з удосконалення організації заробітної плати працівників з метою посилення їх матеріальної заінтересованості як у результатах особистої праці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так і у загальних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ідсумках роботи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забезпечуват</w:t>
      </w:r>
      <w:r>
        <w:rPr>
          <w:rFonts w:ascii="Times New Roman" w:hAnsi="Times New Roman"/>
          <w:sz w:val="28"/>
          <w:szCs w:val="28"/>
          <w:shd w:val="clear" w:color="auto" w:fill="FFFFFF"/>
        </w:rPr>
        <w:t>и економне і раціональне використання фонду споживання і своєчасні розрахунки з працівниками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5.3.6.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виконувати норми і вимоги щодо охорони довкілля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раціонального використання і відтворення природних ресурсі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забезпечення екологічної безпе</w:t>
      </w:r>
      <w:r>
        <w:rPr>
          <w:rFonts w:ascii="Times New Roman" w:hAnsi="Times New Roman"/>
          <w:sz w:val="28"/>
          <w:szCs w:val="28"/>
          <w:shd w:val="clear" w:color="auto" w:fill="FFFFFF"/>
        </w:rPr>
        <w:t>ки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5.3.7.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здійснювати інші повноваження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покладені на КП «Муніципальна варта» відповідно до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чинного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законодавства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5.3.8.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використовувати закріплене за КП «Муніципальна варта» нерухоме майно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буді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вл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земельні ділянки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тощо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відповідно до чинного законода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6.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ВЗАЄМОДІЯ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З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ОРГАНАМИ ВИКОНАВЧОЇ ВЛАДИ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,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ПРАВООХОРОННИМИ ОРГАНАМИ ТА ГРОМАДСЬКІСТЮ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6.1.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 при виконанні покладених на неї завдань взаємодіє з органами виконавчої влади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іншими виконавчими органами Фонтанської сільської ра</w:t>
      </w:r>
      <w:r>
        <w:rPr>
          <w:rFonts w:ascii="Times New Roman" w:hAnsi="Times New Roman"/>
          <w:sz w:val="28"/>
          <w:szCs w:val="28"/>
          <w:shd w:val="clear" w:color="auto" w:fill="FFFFFF"/>
        </w:rPr>
        <w:t>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депутатами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постійними комісіями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тимчасовими контрольними комісіями та іншими органами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утвореними сільською радою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правоохоронними органами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організаціями незалежно від форми власності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об’єднаннями громадян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співпрацює з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засобами масової інформації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проводить прес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конференції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видає інформаційний бюлетень та інші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матер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іали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6.2.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 реалізації Статутних повноважень в сфері дотримання громадського порядку та безпеки КП «Муніципальна варта» та правоохоронні органи спільно ор</w:t>
      </w:r>
      <w:r>
        <w:rPr>
          <w:rFonts w:ascii="Times New Roman" w:hAnsi="Times New Roman"/>
          <w:sz w:val="28"/>
          <w:szCs w:val="28"/>
          <w:shd w:val="clear" w:color="auto" w:fill="FFFFFF"/>
        </w:rPr>
        <w:t>ганізовують взаємодію і надають взаємодопомогу у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спрямована на попередження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припинення і розкриття злочинів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іністративних правопорушень та забезпечення охорони громадського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6.3.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Заходи із взаємодії з правоохоронними органами не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можуть порушувати зобов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язання суб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єктів охоронної діяльності за договором щодо надання послуг з охорони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6.4.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 організовує взаємодію з правоохоронними органами у формі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6.4.1.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проведення спільних нарад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консультацій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рейдів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перев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рок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6.4.2.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обміну інформацією з питань попередження та припинення правопорушень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6.4.3.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інших не заборонених законодавством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проф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ілактичних заходів за умови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якщо не порушуються права та 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язки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організації незалежно від форм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власності та громадян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якщо здійснення таких заходів належить до компетенції відповідного правоохоронного органу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7.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МАЙНО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Встановити КП «Муніципальна варта» Статутний капітал в розмі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r w:rsidRPr="00654094">
        <w:rPr>
          <w:rFonts w:ascii="Times New Roman" w:hAnsi="Times New Roman"/>
          <w:sz w:val="28"/>
          <w:szCs w:val="28"/>
          <w:shd w:val="clear" w:color="auto" w:fill="FFFFFF"/>
        </w:rPr>
        <w:t xml:space="preserve">4 000,00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>. (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чотири тисячі гривень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копійок</w:t>
      </w:r>
      <w:r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Майно К</w:t>
      </w:r>
      <w:r>
        <w:rPr>
          <w:rFonts w:ascii="Times New Roman" w:hAnsi="Times New Roman"/>
          <w:sz w:val="28"/>
          <w:szCs w:val="28"/>
          <w:shd w:val="clear" w:color="auto" w:fill="FFFFFF"/>
        </w:rPr>
        <w:t>П «Муніципальна варта» становлять основні фонди та оборотні кошти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інші цінності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вартість яких відображається у її самостійному балансі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Майно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є власністю Фонтанської територіальної громади і закріплюється за ним на праві господа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рського відання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 має право розпоряджатися закріпленим за ним на праві господарського відання майном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є у комунальній власності і належить до основних фондів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лише з дозволу Власника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7.5.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Джерелами формування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майна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є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  <w:proofErr w:type="gramEnd"/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7.5.1.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майно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передане йому Власником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7.5.2.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доходи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одержані від реалізації продукції та наданих послуг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від інших видів господарської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7.5.3.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кредити банкі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інших кредиторів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7.5.4.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капітальні та поточні трансферти з сільс</w:t>
      </w:r>
      <w:r>
        <w:rPr>
          <w:rFonts w:ascii="Times New Roman" w:hAnsi="Times New Roman"/>
          <w:sz w:val="28"/>
          <w:szCs w:val="28"/>
          <w:shd w:val="clear" w:color="auto" w:fill="FFFFFF"/>
        </w:rPr>
        <w:t>ького бюджету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7.5.5.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інші джерела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 заборонені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7.6.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Збитки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заподіяні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ідприємству внаслідок порушення його майнових прав юридичними особами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громадянами та державними органами відшкодовуються в порядку передбаченому діючим закон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7.7.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КП «Муніципальна варта» може надаватися з сільського бюджету фінансова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ідтримка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у т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дотація на покриття збитків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затвердженому сільською радою та кошти на виконання заходів Програм сільської ради в сфері забезпечення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дієвого контролю за благоустроєм території громади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7.8.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КП «Муніципальна варта» може використовувати для забезпечення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своєї д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іяльності майно фізичних та або юридичних осіб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яке передано в користування КП добровільно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8.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ОРГАНИ УПРАВЛІННЯ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ЇХ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ПОВНОВАЖЕННЯ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8.1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Управління КП «Муніципальна варта» здійсню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є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  <w:proofErr w:type="gramEnd"/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вищий орган управління КП «Муніципальна варта»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Власник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Фонтанська сільська рада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)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8.2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Д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о виключної компетенції Власника належить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визначення основних напрямків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затвердження п</w:t>
      </w:r>
      <w:r>
        <w:rPr>
          <w:rFonts w:ascii="Times New Roman" w:hAnsi="Times New Roman"/>
          <w:sz w:val="28"/>
          <w:szCs w:val="28"/>
          <w:shd w:val="clear" w:color="auto" w:fill="FFFFFF"/>
        </w:rPr>
        <w:t>ланівта звіті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про їх виконання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строків їх надання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вирішення питання про розподіл та внесення змін в розподіл прибутку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призначення та проведення відповідних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перев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ірок фінансової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погодження кандидатури директора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ідприємства перед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прийняттям на посаду та вирішення питання про його звільнення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погодження в установленому законодавством порядку дозволівна здачу в оренду та відчуження нерухомого і окремого індивідуально визначеного майна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закріпленого за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погодження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ічних фінансових планів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 управління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уповноважені ним посадові особи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мають право на отримання від КП «Муніципальна варта» звіті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оперативної інформації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тощо у встановлені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ними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строки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 управління погоджує здійснен</w:t>
      </w:r>
      <w:r>
        <w:rPr>
          <w:rFonts w:ascii="Times New Roman" w:hAnsi="Times New Roman"/>
          <w:sz w:val="28"/>
          <w:szCs w:val="28"/>
          <w:shd w:val="clear" w:color="auto" w:fill="FFFFFF"/>
        </w:rPr>
        <w:t>ня господарських операцій в частині придбання товарів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робіт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послуг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кр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ім комунальних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розмірах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перевищують ліміт повноважень керівника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який становить </w:t>
      </w:r>
      <w:r>
        <w:rPr>
          <w:rFonts w:ascii="Times New Roman" w:hAnsi="Times New Roman"/>
          <w:sz w:val="28"/>
          <w:szCs w:val="28"/>
          <w:shd w:val="clear" w:color="auto" w:fill="FFFFFF"/>
        </w:rPr>
        <w:t>200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вирішення питань про створення фі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л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представництв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кож припинення їх діяльності відповідно до законодавства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прийняття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 про припинення діяльності КП «Муніципальна варта» чи її реорганізацію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призначення ліквідаційної комісії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затвердження ліквідаційного балансу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прийняття і внесення змін та до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повнень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до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Статуту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внутрішніх актів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регулюють діяльність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надання дозволу на отримання кредитів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позик в тому числі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 заставу майна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прийняття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 про розподіл за результатами діяльності КП «Му</w:t>
      </w:r>
      <w:r>
        <w:rPr>
          <w:rFonts w:ascii="Times New Roman" w:hAnsi="Times New Roman"/>
          <w:sz w:val="28"/>
          <w:szCs w:val="28"/>
          <w:shd w:val="clear" w:color="auto" w:fill="FFFFFF"/>
        </w:rPr>
        <w:t>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передбачають залучення КП «Муніципальна варта» інвестицій або здійснення інвестицій вартістю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перевищує розмі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200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>.;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передбачають придбання КП «Муніципальна варта» майна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відчудження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 майна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перевищує розмір</w:t>
      </w:r>
      <w:r>
        <w:rPr>
          <w:rFonts w:ascii="Times New Roman" w:hAnsi="Times New Roman"/>
          <w:sz w:val="28"/>
          <w:szCs w:val="28"/>
          <w:shd w:val="clear" w:color="auto" w:fill="FFFFFF"/>
        </w:rPr>
        <w:t>200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>.;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передбачають надання послуг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вартістю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перевищує розмір</w:t>
      </w:r>
      <w:r>
        <w:rPr>
          <w:rFonts w:ascii="Times New Roman" w:hAnsi="Times New Roman"/>
          <w:sz w:val="28"/>
          <w:szCs w:val="28"/>
          <w:shd w:val="clear" w:color="auto" w:fill="FFFFFF"/>
        </w:rPr>
        <w:t>200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>.;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передбачають виконання КП «Муніципальна варта» робіт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замовлення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вартістю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перевищує розмі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200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>.;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передбачають передачу нерухомого майна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або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транспортних засобів КП «Муніципальна варта» у тимчасове користування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позику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позичку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лізинг або передачу прав на нерухоме майно та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або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транспортні засоби незалежно від вартості майна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майнових прав</w:t>
      </w:r>
      <w:r>
        <w:rPr>
          <w:rFonts w:ascii="Times New Roman" w:hAnsi="Times New Roman"/>
          <w:sz w:val="28"/>
          <w:szCs w:val="28"/>
          <w:shd w:val="clear" w:color="auto" w:fill="FFFFFF"/>
        </w:rPr>
        <w:t>);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передбачають укладення КП «Муніципальн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 варта» будь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яких договорів банківського кредиту на суму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перевищує розмі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200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.; 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8.4.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Управління КП «Муніципальна варта» здійснюється Директором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який призначається на посаду за розпорядженням сільського голови 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ідставі рішення сесії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Фонтанської сільської ради про погодження кандидатури Керівника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звільняється з посади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ішенням сільської ради за обґрунтованим поданням сільського голови або постійних комісій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депутатів та членів виконавчого комітету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8.5.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Директор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вирішує усі питання діяльності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 винятком тих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які належать до виключної компетенції Органу управління та Власника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керуючись законами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іншими нормативними актами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цим Статутом та затвердженими Органом управління основними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напрямами та планами діяльності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Директор несе відповідальність за наслідки господарської діяльності КП «Муніципальна варта» та звітує перед Органом управління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8.6.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Директор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розробляє та подає на затверд</w:t>
      </w:r>
      <w:r>
        <w:rPr>
          <w:rFonts w:ascii="Times New Roman" w:hAnsi="Times New Roman"/>
          <w:sz w:val="28"/>
          <w:szCs w:val="28"/>
          <w:shd w:val="clear" w:color="auto" w:fill="FFFFFF"/>
        </w:rPr>
        <w:t>ження сільському голові структуру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штат та положення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преміювання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склада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є та подає на затвердження сільської ради або її виконавчого комітету фінансовий план та забезпечує його виконання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 урахуванням обмежень визначених цим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Статутом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приймає на роботу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укладає договори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контракти з працівниками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 звільняє працівників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 тому числі заступників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керівників структурних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ідрозділів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відокремлених підрозділів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філій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затверджує посадові інструкції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поло</w:t>
      </w:r>
      <w:r>
        <w:rPr>
          <w:rFonts w:ascii="Times New Roman" w:hAnsi="Times New Roman"/>
          <w:sz w:val="28"/>
          <w:szCs w:val="28"/>
          <w:shd w:val="clear" w:color="auto" w:fill="FFFFFF"/>
        </w:rPr>
        <w:t>ження заступника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головного бухгалтера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керівників структурних підрозділів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керівників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ідокремлених підрозділів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філії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інших створених підрозділів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розпоряджається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межах своїх повноважень майном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 тому числі її коштами в межах до </w:t>
      </w:r>
      <w:r>
        <w:rPr>
          <w:rFonts w:ascii="Times New Roman" w:hAnsi="Times New Roman"/>
          <w:sz w:val="28"/>
          <w:szCs w:val="28"/>
          <w:shd w:val="clear" w:color="auto" w:fill="FFFFFF"/>
        </w:rPr>
        <w:t>200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>.;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самостійно укладає договори з контрагентом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межах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своїх повноважень видає накази та інші акти з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пов’язаних з діяльністю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відповідно до умов колективного договору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застосовує заходи заохочення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накладає дисциплінарні стягнення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забезпечує виконання показників ефективного використання та зберігання переданого майна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майнового стану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заякі несе матеріальну відповідальність згідно з чин</w:t>
      </w:r>
      <w:r>
        <w:rPr>
          <w:rFonts w:ascii="Times New Roman" w:hAnsi="Times New Roman"/>
          <w:sz w:val="28"/>
          <w:szCs w:val="28"/>
          <w:shd w:val="clear" w:color="auto" w:fill="FFFFFF"/>
        </w:rPr>
        <w:t>ним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без довіреності діє від імені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представляє інтереси КП «Муніципальна варта»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відносинах з усіма суб’єктами господарювання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організаціями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установами та громадянами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судах як в Україні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так і за її ме</w:t>
      </w:r>
      <w:r>
        <w:rPr>
          <w:rFonts w:ascii="Times New Roman" w:hAnsi="Times New Roman"/>
          <w:sz w:val="28"/>
          <w:szCs w:val="28"/>
          <w:shd w:val="clear" w:color="auto" w:fill="FFFFFF"/>
        </w:rPr>
        <w:t>жами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забезпечує та несе відповідальність за належне та якісне виконання КП «Муніципальна варта» покладених на неї цим Статутом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чинним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ішеннями сільської ради та виконавчого комітету завдань та реалізацію наданих повноважень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укладає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договори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видає довіреності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відкриває в установах банків розрахунковий та інші рахунки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несе відповідальність за формування та виконання балансу доходів і видатків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виконує інші обов’язки та повноваження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 погодженням з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Органом управління проводить господарські операції в частині придбання товарів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робіт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послуг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кр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ім комунальних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розмірах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перевищують ліміт його повноважень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який складає </w:t>
      </w:r>
      <w:r>
        <w:rPr>
          <w:rFonts w:ascii="Times New Roman" w:hAnsi="Times New Roman"/>
          <w:sz w:val="28"/>
          <w:szCs w:val="28"/>
          <w:shd w:val="clear" w:color="auto" w:fill="FFFFFF"/>
        </w:rPr>
        <w:t>200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8.7.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 Директора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заступника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прийня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ті в межах повноважень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обов’язкові для всіх підлеглих їм працівників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8.7.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 із соціально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економічних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стосуються діяльності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приймаються адміністрацією КП «Муніципальна варта» за участю трудового колективу і відобр</w:t>
      </w:r>
      <w:r>
        <w:rPr>
          <w:rFonts w:ascii="Times New Roman" w:hAnsi="Times New Roman"/>
          <w:sz w:val="28"/>
          <w:szCs w:val="28"/>
          <w:shd w:val="clear" w:color="auto" w:fill="FFFFFF"/>
        </w:rPr>
        <w:t>ажаються у колективному договорі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 укладення колективного договору від імені Органу управління майном надається Директору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 від імені трудового колективу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уповноваженому ним органу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9.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ТРУДОВІ ВІДНОСИНИ І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СОЦ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ІАЛЬНИЙ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РОЗВИТОК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9.1.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Трудова діяльність працівників КП «Муніципальна варта» здійснюється на основі укладених з ними трудових договорів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ідповідно до чинного законодавства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Робота окремих працівників може здійснюватися 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ідставі цивільно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правових договорів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9.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2.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Форми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системи та розміри оплати праці працівників КП «Муніципальна варта» визначаються 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ідставі чинного законодавства з урахуванням результатів господарської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фонду оплати праці та трудового вкладу кожного працівника КП «Муніципальна варт</w:t>
      </w:r>
      <w:r>
        <w:rPr>
          <w:rFonts w:ascii="Times New Roman" w:hAnsi="Times New Roman"/>
          <w:sz w:val="28"/>
          <w:szCs w:val="28"/>
          <w:shd w:val="clear" w:color="auto" w:fill="FFFFFF"/>
        </w:rPr>
        <w:t>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9.3.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Працівники КП «Муніципальна варта»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ідлягають соціальному страхуванню та соціальному забезпеченню в порядку і на умовах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встановлених діючим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9.4.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Умови залучення громадян до охоронної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ідготовка та перепідготовка персон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алу охорони здійснюється відповідно до встановленого законодавством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9.5.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Мінімальний розмі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заробітної плати не може бути нижчим від офіційно встановленого державою мінімального розміру заробітної плати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9.6.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Трудові відносини визначаються відпові</w:t>
      </w:r>
      <w:r>
        <w:rPr>
          <w:rFonts w:ascii="Times New Roman" w:hAnsi="Times New Roman"/>
          <w:sz w:val="28"/>
          <w:szCs w:val="28"/>
          <w:shd w:val="clear" w:color="auto" w:fill="FFFFFF"/>
        </w:rPr>
        <w:t>дно до колективного договору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Кодексу законів про працю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 також Правил внутрішнього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розпорядку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Положення про оплату праці та інших локальних акті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9.7.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Повноваження трудового колективу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реалізуються загальними зборами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конференцією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 через їх виборні органи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Для представництва інтересів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трудового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колективу на загальних зборах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конференції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трудовий колектив може обрати орган колективного самоврядування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 складу якого не може входити Директор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10.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ГОСПОДАРСЬКА ДІЯЛЬНІСТЬ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10.1.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Основним узагальнюючим показником фінансових результатів господарської діяльності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K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П «Муніципальна варта» є прибуток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10.2.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Прибуток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залишається після покриття матеріальних витрат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витрат на оплату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праці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сплату відсотків за кредитами банків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податків і інших 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язкових платежів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після перерахування до бюджету Фонтанської сільської ради частки в розмірі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10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відсотків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залишається в розпорядженні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10.3.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 КП «Муніципальна варта» фонд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оплати праці формується відповідно до вимог діючого законодавства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10.4.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«Муніципальна варта» здійснює бухгалтерський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оперативний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обл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ік та веде бухгалтерську і статистичну звітність згідно з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язкову звітність за форм</w:t>
      </w:r>
      <w:r>
        <w:rPr>
          <w:rFonts w:ascii="Times New Roman" w:hAnsi="Times New Roman"/>
          <w:sz w:val="28"/>
          <w:szCs w:val="28"/>
          <w:shd w:val="clear" w:color="auto" w:fill="FFFFFF"/>
        </w:rPr>
        <w:t>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встановлюється Кабінетом Міністрів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Директор КП «Муніципальна варта» та головний бухгалтер несуть персональну відповідальність за додержання порядку ведення і достовірність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обл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іку та звітності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10.5.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Усі розрахунки КП «Муніципальна варта»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здійснюються у календарній послідовності надходження розрахункових документів у безготівковому та готівковому порядку через установи Банків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відповідно до вимог чинного законодавства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через органи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ержавної казначейської служби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11.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ВІДОМОСТІ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Щ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 Є КОНФІДЕНЦІЙНОЮ ІНФОРМАЦІЄЮТА СТАНОВЛЯТЬ КОМЕРЦІЙНУ ТАЄМНИЦЮ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Порядок забезпечення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використання відомостей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становлять комерційну та конфіденційну інформацію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визначається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відповідному Положенні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яке затверджується Д</w:t>
      </w:r>
      <w:r>
        <w:rPr>
          <w:rFonts w:ascii="Times New Roman" w:hAnsi="Times New Roman"/>
          <w:sz w:val="28"/>
          <w:szCs w:val="28"/>
          <w:shd w:val="clear" w:color="auto" w:fill="FFFFFF"/>
        </w:rPr>
        <w:t>иректором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Посадові особи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працівники КП «Муніципальна варта» повинні зберігати та не розголошувати комерційну таємницю та конфіденційну інформацію про діяльність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12.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ПРИПИНЕННЯ ДІЯЛЬНОСТІ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ІДПРИЄМСТВА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12.1.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Припинення ді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яльності КП «Муніципальна варта» здійснюється шляхом її реорганізації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злиття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приєднання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розділу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виділення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перетворення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ліквідації за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ішенням Власника або суду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або на інших підставах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передбачених чинним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12.2.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Реорганізація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КП «Муніципальна варта» відбувається відповідно до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 Власника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 реорганізації КП «Муніципальна варта» усі її права та 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язки переходять до її правонаступникі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12.3.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інших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ідставах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передбачених законодавчими актами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12.4.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Ліквідаці</w:t>
      </w:r>
      <w:r>
        <w:rPr>
          <w:rFonts w:ascii="Times New Roman" w:hAnsi="Times New Roman"/>
          <w:sz w:val="28"/>
          <w:szCs w:val="28"/>
          <w:shd w:val="clear" w:color="auto" w:fill="FFFFFF"/>
        </w:rPr>
        <w:t>я КП «Муніципальна варта» здійснюється ліквідаційною комісією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утворюється Власником КП «Муніципальна варта» або за його дорученням Органом управління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моменту призначення ліквідаційної комісії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 неї переходять повноваження по керуванню справами КП </w:t>
      </w:r>
      <w:r>
        <w:rPr>
          <w:rFonts w:ascii="Times New Roman" w:hAnsi="Times New Roman"/>
          <w:sz w:val="28"/>
          <w:szCs w:val="28"/>
          <w:shd w:val="clear" w:color="auto" w:fill="FFFFFF"/>
        </w:rPr>
        <w:t>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12.5.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Власник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ухвалив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 про ліквідацію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встановлює порядок і термін проведення процедури ліквідації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термін для виявлення претензій кредиторам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12.6.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«Муніципал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ьна варта» вважається ліквідованою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реорганізованою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 моменту внесення відповідного запису до Єдиного державного реєстру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 та організацій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13.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ПОРЯДОК ВНЕСЕННЯ ЗМІН І ДОПОВНЕНЬ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СТАТУТУ</w:t>
      </w:r>
    </w:p>
    <w:p w:rsidR="003D583C" w:rsidRDefault="00E51ED9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13.1.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Пропозиції щодо внесення змін і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доповнень до Статуту КП «Муніципальна варта» можуть надходити від Власника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Органу Управління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трудового колективу 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іністрації КП «Муніципальна варта»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13.2.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Зміни та доповнення до Статуту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затверджує Фонтанська сільська рада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Зміни та допо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внення до Статуту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підлягають державній реєстрації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3D583C" w:rsidRDefault="00E51ED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сільського голови                                                               Андрій СЕРЕБРІЙ</w:t>
      </w:r>
    </w:p>
    <w:p w:rsidR="003D583C" w:rsidRDefault="003D583C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6"/>
        <w:shd w:val="clear" w:color="auto" w:fill="FFFFFF"/>
        <w:ind w:firstLine="851"/>
        <w:jc w:val="both"/>
        <w:rPr>
          <w:sz w:val="28"/>
          <w:szCs w:val="28"/>
          <w:shd w:val="clear" w:color="auto" w:fill="FFFFFF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:rsidR="003D583C" w:rsidRDefault="003D583C">
      <w:pPr>
        <w:pStyle w:val="a5"/>
        <w:suppressAutoHyphens/>
        <w:spacing w:before="0" w:line="240" w:lineRule="auto"/>
        <w:jc w:val="both"/>
        <w:rPr>
          <w:rFonts w:hint="eastAsia"/>
        </w:rPr>
      </w:pPr>
    </w:p>
    <w:sectPr w:rsidR="003D583C">
      <w:headerReference w:type="default" r:id="rId9"/>
      <w:footerReference w:type="default" r:id="rId10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ED9" w:rsidRDefault="00E51ED9">
      <w:r>
        <w:separator/>
      </w:r>
    </w:p>
  </w:endnote>
  <w:endnote w:type="continuationSeparator" w:id="0">
    <w:p w:rsidR="00E51ED9" w:rsidRDefault="00E5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83C" w:rsidRDefault="003D583C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ED9" w:rsidRDefault="00E51ED9">
      <w:r>
        <w:separator/>
      </w:r>
    </w:p>
  </w:footnote>
  <w:footnote w:type="continuationSeparator" w:id="0">
    <w:p w:rsidR="00E51ED9" w:rsidRDefault="00E51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83C" w:rsidRDefault="003D583C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4391FAA"/>
    <w:multiLevelType w:val="hybridMultilevel"/>
    <w:tmpl w:val="C832C436"/>
    <w:styleLink w:val="2"/>
    <w:lvl w:ilvl="0" w:tplc="C82848D8">
      <w:start w:val="1"/>
      <w:numFmt w:val="decimal"/>
      <w:suff w:val="nothing"/>
      <w:lvlText w:val="%1."/>
      <w:lvlJc w:val="left"/>
      <w:pPr>
        <w:ind w:left="140" w:firstLine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BC2018">
      <w:start w:val="1"/>
      <w:numFmt w:val="lowerLetter"/>
      <w:lvlText w:val="%2."/>
      <w:lvlJc w:val="left"/>
      <w:pPr>
        <w:tabs>
          <w:tab w:val="num" w:pos="1532"/>
        </w:tabs>
        <w:ind w:left="681" w:firstLine="4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EAD98C">
      <w:start w:val="1"/>
      <w:numFmt w:val="lowerRoman"/>
      <w:lvlText w:val="%3."/>
      <w:lvlJc w:val="left"/>
      <w:pPr>
        <w:tabs>
          <w:tab w:val="num" w:pos="2252"/>
        </w:tabs>
        <w:ind w:left="1401" w:firstLine="4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4A52C6">
      <w:start w:val="1"/>
      <w:numFmt w:val="decimal"/>
      <w:lvlText w:val="%4."/>
      <w:lvlJc w:val="left"/>
      <w:pPr>
        <w:tabs>
          <w:tab w:val="num" w:pos="2972"/>
        </w:tabs>
        <w:ind w:left="2121" w:firstLine="4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3C2BEA">
      <w:start w:val="1"/>
      <w:numFmt w:val="lowerLetter"/>
      <w:lvlText w:val="%5."/>
      <w:lvlJc w:val="left"/>
      <w:pPr>
        <w:tabs>
          <w:tab w:val="num" w:pos="3692"/>
        </w:tabs>
        <w:ind w:left="2841" w:firstLine="4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E08006">
      <w:start w:val="1"/>
      <w:numFmt w:val="lowerRoman"/>
      <w:lvlText w:val="%6."/>
      <w:lvlJc w:val="left"/>
      <w:pPr>
        <w:tabs>
          <w:tab w:val="num" w:pos="4412"/>
        </w:tabs>
        <w:ind w:left="3561" w:firstLine="4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F2448C">
      <w:start w:val="1"/>
      <w:numFmt w:val="decimal"/>
      <w:lvlText w:val="%7."/>
      <w:lvlJc w:val="left"/>
      <w:pPr>
        <w:tabs>
          <w:tab w:val="num" w:pos="5132"/>
        </w:tabs>
        <w:ind w:left="4281" w:firstLine="4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E66986">
      <w:start w:val="1"/>
      <w:numFmt w:val="lowerLetter"/>
      <w:lvlText w:val="%8."/>
      <w:lvlJc w:val="left"/>
      <w:pPr>
        <w:tabs>
          <w:tab w:val="num" w:pos="5852"/>
        </w:tabs>
        <w:ind w:left="5001" w:firstLine="4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2C4D994">
      <w:start w:val="1"/>
      <w:numFmt w:val="lowerRoman"/>
      <w:lvlText w:val="%9."/>
      <w:lvlJc w:val="left"/>
      <w:pPr>
        <w:tabs>
          <w:tab w:val="num" w:pos="6572"/>
        </w:tabs>
        <w:ind w:left="5721" w:firstLine="4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6AE1E47"/>
    <w:multiLevelType w:val="hybridMultilevel"/>
    <w:tmpl w:val="C832C436"/>
    <w:numStyleLink w:val="2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D583C"/>
    <w:rsid w:val="003D583C"/>
    <w:rsid w:val="00654094"/>
    <w:rsid w:val="00E5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6">
    <w:name w:val="Body Tex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2">
    <w:name w:val="Импортированный стиль 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6">
    <w:name w:val="Body Text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2">
    <w:name w:val="Импортированный стиль 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5185</Words>
  <Characters>29556</Characters>
  <Application>Microsoft Office Word</Application>
  <DocSecurity>0</DocSecurity>
  <Lines>246</Lines>
  <Paragraphs>69</Paragraphs>
  <ScaleCrop>false</ScaleCrop>
  <Company/>
  <LinksUpToDate>false</LinksUpToDate>
  <CharactersWithSpaces>34672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Bondarenko</cp:lastModifiedBy>
  <cp:revision>2</cp:revision>
  <dcterms:created xsi:type="dcterms:W3CDTF">2025-05-27T08:31:00Z</dcterms:created>
  <dcterms:modified xsi:type="dcterms:W3CDTF">2025-05-27T08:33:00Z</dcterms:modified>
</cp:coreProperties>
</file>